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3503A" w14:textId="77777777" w:rsidR="00E77426" w:rsidRDefault="0013053A">
      <w:pPr>
        <w:pStyle w:val="Cmsor1"/>
        <w:spacing w:after="283"/>
        <w:ind w:left="155" w:right="1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 w:bidi="ar-SA"/>
        </w:rPr>
        <w:drawing>
          <wp:inline distT="0" distB="0" distL="0" distR="0" wp14:anchorId="37ECE039" wp14:editId="1562C73F">
            <wp:extent cx="1477645" cy="965835"/>
            <wp:effectExtent l="0" t="0" r="0" b="0"/>
            <wp:docPr id="1" name="Ké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9" t="-182" r="-119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98016" w14:textId="77777777" w:rsidR="00E77426" w:rsidRDefault="0013053A">
      <w:pPr>
        <w:pStyle w:val="Cmsor1"/>
        <w:spacing w:after="283"/>
        <w:ind w:left="155" w:right="169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Adatkezelési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tájékoztató</w:t>
      </w:r>
    </w:p>
    <w:p w14:paraId="2FD39C9E" w14:textId="77777777" w:rsidR="00E77426" w:rsidRDefault="0013053A">
      <w:pPr>
        <w:pStyle w:val="Textbody"/>
        <w:ind w:left="155" w:right="175"/>
        <w:jc w:val="center"/>
        <w:rPr>
          <w:rFonts w:hint="eastAsia"/>
        </w:rPr>
      </w:pPr>
      <w:r>
        <w:rPr>
          <w:rFonts w:ascii="Times New Roman" w:hAnsi="Times New Roman" w:cs="Times New Roman"/>
          <w:i/>
          <w:iCs/>
          <w:color w:val="000000"/>
        </w:rPr>
        <w:t>A 2026. évi országgyűlési választási</w:t>
      </w:r>
      <w:r>
        <w:rPr>
          <w:rFonts w:ascii="Times New Roman" w:hAnsi="Times New Roman" w:cs="Times New Roman"/>
          <w:i/>
          <w:iCs/>
        </w:rPr>
        <w:t xml:space="preserve"> eljárásban résztvevő, választott </w:t>
      </w:r>
      <w:r>
        <w:rPr>
          <w:rFonts w:ascii="Times New Roman" w:hAnsi="Times New Roman" w:cs="Times New Roman"/>
          <w:b/>
          <w:bCs/>
          <w:i/>
          <w:iCs/>
        </w:rPr>
        <w:t>szavazatszámláló bizottsági tagok és póttagok</w:t>
      </w:r>
    </w:p>
    <w:p w14:paraId="642C1DF5" w14:textId="77777777" w:rsidR="00E77426" w:rsidRDefault="0013053A">
      <w:pPr>
        <w:pStyle w:val="Textbody"/>
        <w:spacing w:after="283"/>
        <w:ind w:left="155" w:right="175"/>
        <w:jc w:val="center"/>
        <w:rPr>
          <w:rFonts w:hint="eastAsia"/>
        </w:rPr>
      </w:pPr>
      <w:r>
        <w:rPr>
          <w:rFonts w:ascii="Times New Roman" w:hAnsi="Times New Roman" w:cs="Times New Roman"/>
          <w:i/>
          <w:iCs/>
          <w:spacing w:val="-3"/>
        </w:rPr>
        <w:t xml:space="preserve">személyes </w:t>
      </w:r>
      <w:r>
        <w:rPr>
          <w:rFonts w:ascii="Times New Roman" w:hAnsi="Times New Roman" w:cs="Times New Roman"/>
          <w:i/>
          <w:iCs/>
        </w:rPr>
        <w:t>adatainak kezeléséről</w:t>
      </w:r>
    </w:p>
    <w:p w14:paraId="0B862190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Tájékoztatjuk, hogy a 2026. évi országgyűlési választási eljárásban részt vevő Szavazatszámláló Bizottsági Tagok és Póttagok (együtt: </w:t>
      </w:r>
      <w:r>
        <w:rPr>
          <w:rFonts w:ascii="Times New Roman" w:hAnsi="Times New Roman" w:cs="Times New Roman"/>
          <w:i/>
          <w:iCs/>
        </w:rPr>
        <w:t>érintettek, illetve tagok) jelentkezése, a kiválasztási eljárás, valamint a választási eljárás lefolytatása céljából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/>
          <w:bCs/>
        </w:rPr>
        <w:t>adatkezelés célja</w:t>
      </w:r>
      <w:r>
        <w:rPr>
          <w:rFonts w:ascii="Times New Roman" w:hAnsi="Times New Roman" w:cs="Times New Roman"/>
        </w:rPr>
        <w:t>) az alábbi személyes adatokat kezeljük (</w:t>
      </w:r>
      <w:r>
        <w:rPr>
          <w:rFonts w:ascii="Times New Roman" w:hAnsi="Times New Roman" w:cs="Times New Roman"/>
          <w:b/>
          <w:bCs/>
        </w:rPr>
        <w:t>kezelt adatok köre</w:t>
      </w:r>
      <w:r>
        <w:rPr>
          <w:rFonts w:ascii="Times New Roman" w:hAnsi="Times New Roman" w:cs="Times New Roman"/>
        </w:rPr>
        <w:t>):</w:t>
      </w:r>
    </w:p>
    <w:p w14:paraId="33C257D2" w14:textId="77777777" w:rsidR="00E77426" w:rsidRDefault="00E77426">
      <w:pPr>
        <w:pStyle w:val="Standard"/>
        <w:jc w:val="both"/>
        <w:rPr>
          <w:rFonts w:hint="eastAsia"/>
        </w:rPr>
      </w:pPr>
    </w:p>
    <w:p w14:paraId="41AFEA35" w14:textId="77777777" w:rsidR="00E77426" w:rsidRDefault="0013053A">
      <w:pPr>
        <w:pStyle w:val="TableParagraph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pacing w:val="-1"/>
        </w:rPr>
        <w:t>A Szavazatszámláló</w:t>
      </w:r>
      <w:r>
        <w:rPr>
          <w:rFonts w:ascii="Times New Roman" w:hAnsi="Times New Roman" w:cs="Times New Roman"/>
          <w:spacing w:val="-12"/>
        </w:rPr>
        <w:t xml:space="preserve"> B</w:t>
      </w:r>
      <w:r>
        <w:rPr>
          <w:rFonts w:ascii="Times New Roman" w:hAnsi="Times New Roman" w:cs="Times New Roman"/>
        </w:rPr>
        <w:t>izottsági</w:t>
      </w:r>
      <w:r>
        <w:rPr>
          <w:rFonts w:ascii="Times New Roman" w:hAnsi="Times New Roman" w:cs="Times New Roman"/>
          <w:spacing w:val="-15"/>
        </w:rPr>
        <w:t xml:space="preserve"> T</w:t>
      </w:r>
      <w:r>
        <w:rPr>
          <w:rFonts w:ascii="Times New Roman" w:hAnsi="Times New Roman" w:cs="Times New Roman"/>
        </w:rPr>
        <w:t>ag (Póttag):</w:t>
      </w:r>
    </w:p>
    <w:p w14:paraId="14B8C1B5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neve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(családi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és utónév, illetve utónevei),</w:t>
      </w:r>
    </w:p>
    <w:p w14:paraId="0EEBF70D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születési helye, ideje,</w:t>
      </w:r>
    </w:p>
    <w:p w14:paraId="0D716D57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anyja neve,</w:t>
      </w:r>
    </w:p>
    <w:p w14:paraId="537C5E3F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címe (lakóhelye és tartózkodási helye, ha utóbbi releváns), illetve értesítési címe,</w:t>
      </w:r>
    </w:p>
    <w:p w14:paraId="65388734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személyi azonosítója (okmány száma),</w:t>
      </w:r>
    </w:p>
    <w:p w14:paraId="44A7BA72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adóazonosító jele,</w:t>
      </w:r>
    </w:p>
    <w:p w14:paraId="71A8781C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TAJ-száma,</w:t>
      </w:r>
    </w:p>
    <w:p w14:paraId="6714BC10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telefonszáma,</w:t>
      </w:r>
    </w:p>
    <w:p w14:paraId="217F8F40" w14:textId="77777777" w:rsidR="00E77426" w:rsidRDefault="0013053A">
      <w:pPr>
        <w:pStyle w:val="TableParagraph"/>
        <w:numPr>
          <w:ilvl w:val="1"/>
          <w:numId w:val="1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e-mail-címe.</w:t>
      </w:r>
    </w:p>
    <w:p w14:paraId="35A75122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 w:cs="Times New Roman"/>
        </w:rPr>
      </w:pPr>
    </w:p>
    <w:p w14:paraId="6EE058BF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Adatkezelő hatáskörében eljáró ügyintéző a választási jogosultságot és a lakóhely adatokat a Nemzeti Választási Rendszerben ellenőrzi, egyebekben az Adatkezelő nem kezel olyan személyes adatot, amelyet nem az érintettől gyűjt.</w:t>
      </w:r>
    </w:p>
    <w:p w14:paraId="2FB97799" w14:textId="77777777" w:rsidR="00E77426" w:rsidRDefault="0013053A">
      <w:pPr>
        <w:pStyle w:val="TableParagraph"/>
        <w:tabs>
          <w:tab w:val="left" w:pos="828"/>
          <w:tab w:val="left" w:pos="829"/>
        </w:tabs>
        <w:spacing w:before="171" w:after="17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Az alkalmazott jogszabályok:</w:t>
      </w:r>
    </w:p>
    <w:p w14:paraId="792DE4BF" w14:textId="77777777" w:rsidR="00E77426" w:rsidRDefault="0013053A">
      <w:pPr>
        <w:pStyle w:val="Standard"/>
        <w:widowControl w:val="0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 természetes személyeknek a személyes adatok kezelése tekintetében történő védelméről és az ilyen adatok szabad áramlásáról, valamint a 95/46/EK rendelet hatályon kívül helyezéséről szóló az Európai Parlament és Tanács (EU) 2016/679 Rendelete (GDPR);</w:t>
      </w:r>
    </w:p>
    <w:p w14:paraId="70AD6E1E" w14:textId="77777777" w:rsidR="00E77426" w:rsidRDefault="0013053A">
      <w:pPr>
        <w:pStyle w:val="Standard"/>
        <w:widowControl w:val="0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Az információs önrendelkezési jogról és az információszabadságról szóló 2011. évi CXII. törvény (Infotv.);</w:t>
      </w:r>
    </w:p>
    <w:p w14:paraId="4866631E" w14:textId="77777777" w:rsidR="00E77426" w:rsidRDefault="0013053A">
      <w:pPr>
        <w:pStyle w:val="Standard"/>
        <w:widowControl w:val="0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1"/>
        </w:rPr>
        <w:t xml:space="preserve">A </w:t>
      </w:r>
      <w:r>
        <w:rPr>
          <w:rFonts w:ascii="Times New Roman" w:hAnsi="Times New Roman" w:cs="Times New Roman"/>
        </w:rPr>
        <w:t>választási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eljárásról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szóló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2013.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évi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XXXVI.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törvény (Ve. tv.);</w:t>
      </w:r>
    </w:p>
    <w:p w14:paraId="1AF5573C" w14:textId="77777777" w:rsidR="00E77426" w:rsidRDefault="0013053A">
      <w:pPr>
        <w:pStyle w:val="Standard"/>
        <w:widowControl w:val="0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Magyarország helyi önkormányzatairól szóló 2011. évi CLXXXIX. törvény (Mötv.).</w:t>
      </w:r>
    </w:p>
    <w:p w14:paraId="51204A66" w14:textId="77777777" w:rsidR="00E77426" w:rsidRDefault="0013053A">
      <w:pPr>
        <w:pStyle w:val="TableParagraph"/>
        <w:tabs>
          <w:tab w:val="left" w:pos="828"/>
          <w:tab w:val="left" w:pos="829"/>
        </w:tabs>
        <w:spacing w:before="228" w:after="22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Az adatkezelés jogalapja:</w:t>
      </w:r>
    </w:p>
    <w:p w14:paraId="5ED30E55" w14:textId="77777777" w:rsidR="00E77426" w:rsidRDefault="0013053A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  <w:bCs/>
        </w:rPr>
        <w:t>GDPR 6. cikk (1) bekezdés e) pontja</w:t>
      </w:r>
      <w:r>
        <w:rPr>
          <w:rFonts w:ascii="Times New Roman" w:hAnsi="Times New Roman" w:cs="Times New Roman"/>
        </w:rPr>
        <w:t xml:space="preserve"> alapján az adatkezelés az Adatkezelő közérdekű feladatának végrehajtásához szükséges (kivéve telefonszám és e-mail-cím).</w:t>
      </w:r>
    </w:p>
    <w:p w14:paraId="61D9C691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</w:p>
    <w:p w14:paraId="7AA393E5" w14:textId="77777777" w:rsidR="00E77426" w:rsidRDefault="0013053A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Az érintett telefonszáma, e-mail-címe esetén az adatkezelés jogalapja a </w:t>
      </w:r>
      <w:r>
        <w:rPr>
          <w:rFonts w:ascii="Times New Roman" w:hAnsi="Times New Roman" w:cs="Times New Roman"/>
          <w:b/>
          <w:bCs/>
        </w:rPr>
        <w:t>GDPR 6. cikk (1) bekezdés a) pontja</w:t>
      </w:r>
      <w:r>
        <w:rPr>
          <w:rFonts w:ascii="Times New Roman" w:hAnsi="Times New Roman" w:cs="Times New Roman"/>
        </w:rPr>
        <w:t>, mely szerint az érintett hozzájárulását adta személyes adatainak kezeléséhez.</w:t>
      </w:r>
    </w:p>
    <w:p w14:paraId="706DB59E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</w:p>
    <w:p w14:paraId="3BDD714C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</w:p>
    <w:p w14:paraId="39505709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</w:p>
    <w:p w14:paraId="5A27D9B9" w14:textId="77777777" w:rsidR="00E77426" w:rsidRDefault="0013053A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 telefonszámot és az e-mail-címet kizárólag a szavazatszámlálói bizottsági feladatok ellátásával összefüggésben, kapcsolattartás céljából kezeljük.</w:t>
      </w:r>
    </w:p>
    <w:p w14:paraId="45D865CC" w14:textId="77777777" w:rsidR="00E77426" w:rsidRDefault="0013053A">
      <w:pPr>
        <w:pStyle w:val="TableParagraph"/>
        <w:tabs>
          <w:tab w:val="left" w:pos="828"/>
          <w:tab w:val="left" w:pos="829"/>
        </w:tabs>
        <w:spacing w:before="171" w:after="17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A személyes adatok továbbításának címzettjei:</w:t>
      </w:r>
    </w:p>
    <w:p w14:paraId="19C629EA" w14:textId="34DE3ADF" w:rsidR="00E77426" w:rsidRDefault="0013053A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 jelentkező, illetve választható tag (póttag) neve (családi és utónév, illetve utónevek) a</w:t>
      </w:r>
      <w:r w:rsidR="002F111C">
        <w:rPr>
          <w:rFonts w:ascii="Times New Roman" w:hAnsi="Times New Roman" w:cs="Times New Roman"/>
        </w:rPr>
        <w:t xml:space="preserve"> Jászszentlászló Község </w:t>
      </w:r>
      <w:r>
        <w:rPr>
          <w:rFonts w:ascii="Times New Roman" w:hAnsi="Times New Roman" w:cs="Times New Roman"/>
        </w:rPr>
        <w:t xml:space="preserve"> Önkormányzat Képviselő-testülete részére kerül megküldésre a döntés meghozatala céljából (amennyiben a tagot választják és nem delegált, megbízott tagról van szó).</w:t>
      </w:r>
    </w:p>
    <w:p w14:paraId="6242B193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</w:p>
    <w:p w14:paraId="33A33DC1" w14:textId="77777777" w:rsidR="00E77426" w:rsidRDefault="0013053A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 választott szavazatszámláló bizottsági tagok és póttagok névjegyzékét, a kiválasztással kapcsolatos, illetve az ellátandó feladatokra vonatkozó dokumentumokat, – a rajtuk szereplő személyes adatokkal együtt – a Nemzeti Választási Irodának, illetve a Helyi Választási Bizottság részére továbbítjuk.</w:t>
      </w:r>
    </w:p>
    <w:p w14:paraId="1884D76D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 w:cs="Times New Roman"/>
        </w:rPr>
      </w:pPr>
    </w:p>
    <w:p w14:paraId="3B4940EC" w14:textId="77777777" w:rsidR="00E77426" w:rsidRDefault="0013053A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 kezelt adatokat az Adatkezelő hatáskörében eljáró valamennyi olyan ügyintézője megismerheti, akinek a feladatkörébe tartozik a szavazatszámláló bizottság (SzSzB) tagjainak, valamint póttagjainak kiválasztásával kapcsolatos eljárás lefolytatása.</w:t>
      </w:r>
    </w:p>
    <w:p w14:paraId="044C6CCA" w14:textId="77777777" w:rsidR="00E77426" w:rsidRDefault="0013053A">
      <w:pPr>
        <w:pStyle w:val="TableParagraph"/>
        <w:tabs>
          <w:tab w:val="left" w:pos="828"/>
          <w:tab w:val="left" w:pos="829"/>
        </w:tabs>
        <w:spacing w:before="171" w:after="17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A személyes adatok megőrzésének, tárolásának ideje:</w:t>
      </w:r>
    </w:p>
    <w:p w14:paraId="02F626B3" w14:textId="77777777" w:rsidR="00E77426" w:rsidRDefault="0013053A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Az Adatkezelő a személyes adatokat </w:t>
      </w:r>
      <w:r>
        <w:rPr>
          <w:rFonts w:ascii="Times New Roman" w:hAnsi="Times New Roman" w:cs="Times New Roman"/>
          <w:i/>
          <w:iCs/>
        </w:rPr>
        <w:t>az önkormányzati hivatalok egységes irattári tervének kiadásáról szóló 78/2012. (XII.28.) BM rendelet</w:t>
      </w:r>
      <w:r>
        <w:rPr>
          <w:rFonts w:ascii="Times New Roman" w:hAnsi="Times New Roman" w:cs="Times New Roman"/>
        </w:rPr>
        <w:t xml:space="preserve"> szerint 15 évig kezeli, őrzi meg, majd azokat 15 év eltelte után a Magyar Nemzeti Levéltár illetékes Megyei Levéltára részére továbbítja.</w:t>
      </w:r>
    </w:p>
    <w:p w14:paraId="38376609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 w:cs="Times New Roman"/>
        </w:rPr>
      </w:pPr>
    </w:p>
    <w:p w14:paraId="40524C47" w14:textId="77777777" w:rsidR="00E77426" w:rsidRDefault="0013053A">
      <w:pPr>
        <w:pStyle w:val="Cmsor1"/>
        <w:ind w:left="0" w:firstLine="0"/>
        <w:jc w:val="both"/>
        <w:rPr>
          <w:rFonts w:ascii="Times New Roman" w:hAnsi="Times New Roman"/>
        </w:rPr>
      </w:pPr>
      <w:bookmarkStart w:id="0" w:name="__RefHeading___Toc4986_5986553381"/>
      <w:bookmarkEnd w:id="0"/>
      <w:r>
        <w:rPr>
          <w:rFonts w:ascii="Times New Roman" w:hAnsi="Times New Roman" w:cs="Times New Roman"/>
        </w:rPr>
        <w:t>Az Ön jogai (érintetti jogok):</w:t>
      </w:r>
    </w:p>
    <w:p w14:paraId="30450494" w14:textId="77777777" w:rsidR="00E77426" w:rsidRDefault="00E77426">
      <w:pPr>
        <w:pStyle w:val="Cmsor1"/>
        <w:ind w:firstLine="0"/>
        <w:jc w:val="both"/>
        <w:rPr>
          <w:rFonts w:ascii="Times New Roman" w:hAnsi="Times New Roman"/>
        </w:rPr>
      </w:pPr>
    </w:p>
    <w:p w14:paraId="62CD71DD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Bármikor kérhet tájékoztatást személyes adatai kezelésével kapcsolatban írásban (e-mailben, illetve postai címünkre megküldött levélben) vagy szóban (személyesen, illetve telefonon).</w:t>
      </w:r>
    </w:p>
    <w:p w14:paraId="7E960BCA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5D4F42C9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Felhívjuk a figyelmét, hogy telefonon történő megkeresése esetén – amennyiben az adatkezeléssel kapcsolatos igénye indokolja (pl.: adatainak törlését kéri), – akkor azonosítanunk kell abból a célból, hogy jogosult-e a kérésre, mielőtt teljesítjük azt.</w:t>
      </w:r>
    </w:p>
    <w:p w14:paraId="44C20358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62071724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Amennyiben személyazonossága igazolása nem lehetséges, akkor kizárólag általános tájékoztatást adhatunk az adatkezeléssel kapcsolatban. Emiatt javasoljuk, hogy kérdését vagy igényét lehetőleg írásban jelezze.</w:t>
      </w:r>
    </w:p>
    <w:p w14:paraId="450FA78E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049BC682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Szintén bármikor kérheti adatai helyesbítését, módosítását, ha például azok megváltoztak (pl.: neve, címe, telefonszáma, stb.), vagy amennyiben azt tapasztalja, hogy például hibásan adta meg vagy tévesen, illetve hiányosan rögzítettük azokat.</w:t>
      </w:r>
    </w:p>
    <w:p w14:paraId="671B2D7C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18ACDA19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Adatai törlését vagy az adatkezelés korlátozását is kérheti, s ha annak nincs jogszabályi akadálya, akkor kérésének haladéktalanul eleget teszünk (ellenkező esetben pedig tájékoztatjuk a megtagadásának indokáról).</w:t>
      </w:r>
    </w:p>
    <w:p w14:paraId="3A37A1B6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0343988A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Az önkéntes hozzájárulása alapján kezelt személyes adatait (e-mail-cím, telefonszám) ez irányú kérelmét követően haladéktalanul töröljük. Ilyen irányú kérelem hiányában az önként megadott kapcsolattartási adatokat a választási eredmények megállapítását követően töröljük.</w:t>
      </w:r>
    </w:p>
    <w:p w14:paraId="533F9C4E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4A5C42B1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Amennyiben olyan kérdése merülne fel, amely jelen adatkezelési tájékoztatónk alapján nem egyértelmű, kérjük, hogy forduljon hozzánk bizalommal fenti elérhetőségeinken!</w:t>
      </w:r>
    </w:p>
    <w:p w14:paraId="50774F6D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0C2EDB3F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7C9DC0C5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4AF9514F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59B11465" w14:textId="77777777" w:rsidR="00E77426" w:rsidRDefault="0013053A">
      <w:pPr>
        <w:pStyle w:val="Standard"/>
        <w:tabs>
          <w:tab w:val="left" w:pos="828"/>
          <w:tab w:val="left" w:pos="829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Törekszünk arra, hogy minél gyorsabban választ adjunk, viszont amennyiben kérdése megfelelő megválaszolása több időt vesz igénybe, akkor legfeljebb 15 napon belül vállaljuk a válaszadás teljesítését.</w:t>
      </w:r>
    </w:p>
    <w:p w14:paraId="79685894" w14:textId="77777777" w:rsidR="00E77426" w:rsidRDefault="00E77426">
      <w:pPr>
        <w:pStyle w:val="TableParagraph"/>
        <w:tabs>
          <w:tab w:val="left" w:pos="828"/>
          <w:tab w:val="left" w:pos="829"/>
        </w:tabs>
        <w:jc w:val="both"/>
        <w:rPr>
          <w:rFonts w:ascii="Times New Roman" w:hAnsi="Times New Roman" w:cs="Times New Roman"/>
        </w:rPr>
      </w:pPr>
    </w:p>
    <w:p w14:paraId="331B2991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Az adatkezeléssel, valamint az ahhoz fűződő jogaival kapcsolatban bármikor kérhet tájékoztatást </w:t>
      </w:r>
      <w:r>
        <w:rPr>
          <w:rFonts w:ascii="Times New Roman" w:hAnsi="Times New Roman" w:cs="Times New Roman"/>
          <w:b/>
          <w:bCs/>
        </w:rPr>
        <w:t>alábbi elérhetőségeinken</w:t>
      </w:r>
      <w:r>
        <w:rPr>
          <w:rFonts w:ascii="Times New Roman" w:hAnsi="Times New Roman" w:cs="Times New Roman"/>
        </w:rPr>
        <w:t>:</w:t>
      </w:r>
      <w:bookmarkStart w:id="1" w:name="_GoBack"/>
      <w:bookmarkEnd w:id="1"/>
    </w:p>
    <w:p w14:paraId="341666A2" w14:textId="77777777" w:rsidR="00E77426" w:rsidRDefault="00E77426">
      <w:pPr>
        <w:pStyle w:val="Standard"/>
        <w:rPr>
          <w:rFonts w:ascii="Times New Roman" w:hAnsi="Times New Roman" w:cs="Times New Roman"/>
        </w:rPr>
      </w:pPr>
    </w:p>
    <w:tbl>
      <w:tblPr>
        <w:tblW w:w="9459" w:type="dxa"/>
        <w:jc w:val="center"/>
        <w:tblLayout w:type="fixed"/>
        <w:tblLook w:val="04A0" w:firstRow="1" w:lastRow="0" w:firstColumn="1" w:lastColumn="0" w:noHBand="0" w:noVBand="1"/>
      </w:tblPr>
      <w:tblGrid>
        <w:gridCol w:w="3882"/>
        <w:gridCol w:w="5577"/>
      </w:tblGrid>
      <w:tr w:rsidR="00E77426" w14:paraId="0239C816" w14:textId="77777777">
        <w:trPr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2F37" w14:textId="77777777" w:rsidR="00E77426" w:rsidRDefault="0013053A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Adatkezelő neve: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D12" w14:textId="5C9891F6" w:rsidR="00E77426" w:rsidRDefault="002F11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Jászszentlászlói Közös Önkormányzati Hivatal </w:t>
            </w:r>
          </w:p>
        </w:tc>
      </w:tr>
      <w:tr w:rsidR="00E77426" w14:paraId="2DE7164B" w14:textId="77777777">
        <w:trPr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9E79" w14:textId="77777777" w:rsidR="00E77426" w:rsidRDefault="0013053A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Postai címe: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87C9" w14:textId="7B28F870" w:rsidR="00E77426" w:rsidRDefault="002F11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6133 Jászszentlászló, Dózsa Gy. u. 8. </w:t>
            </w:r>
          </w:p>
        </w:tc>
      </w:tr>
      <w:tr w:rsidR="00E77426" w14:paraId="4EA3AAAB" w14:textId="77777777">
        <w:trPr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00DB" w14:textId="77777777" w:rsidR="00E77426" w:rsidRDefault="0013053A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E-mail-címe: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A196" w14:textId="57694C62" w:rsidR="00E77426" w:rsidRDefault="002F11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jegyzo@jaszszentlaszlo.hu</w:t>
            </w:r>
          </w:p>
        </w:tc>
      </w:tr>
      <w:tr w:rsidR="00E77426" w14:paraId="3A2811B5" w14:textId="77777777">
        <w:trPr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3E48" w14:textId="77777777" w:rsidR="00E77426" w:rsidRDefault="0013053A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Telefonszáma: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3A08" w14:textId="03F5A2E2" w:rsidR="00E77426" w:rsidRDefault="002F11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C2F17">
              <w:rPr>
                <w:rFonts w:ascii="Times New Roman" w:hAnsi="Times New Roman" w:cs="Times New Roman"/>
              </w:rPr>
              <w:t>+36 77</w:t>
            </w:r>
            <w:r>
              <w:rPr>
                <w:rFonts w:ascii="Times New Roman" w:hAnsi="Times New Roman" w:cs="Times New Roman"/>
              </w:rPr>
              <w:t> 492 161</w:t>
            </w:r>
          </w:p>
        </w:tc>
      </w:tr>
      <w:tr w:rsidR="00E77426" w14:paraId="5E898A0C" w14:textId="77777777">
        <w:trPr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2D90" w14:textId="77777777" w:rsidR="00E77426" w:rsidRDefault="0013053A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Adatvédelmi tisztviselő neve: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BADD" w14:textId="77777777" w:rsidR="00E77426" w:rsidRDefault="0013053A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HANGANOV Kft.</w:t>
            </w:r>
          </w:p>
        </w:tc>
      </w:tr>
      <w:tr w:rsidR="00E77426" w14:paraId="77D99E05" w14:textId="77777777">
        <w:trPr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DF6D" w14:textId="77777777" w:rsidR="00E77426" w:rsidRDefault="0013053A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Adatvédelmi tisztviselő elérhetősége: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361B" w14:textId="77777777" w:rsidR="00E77426" w:rsidRDefault="006A7C9E">
            <w:pPr>
              <w:pStyle w:val="Standard"/>
              <w:widowControl w:val="0"/>
              <w:rPr>
                <w:rFonts w:hint="eastAsia"/>
              </w:rPr>
            </w:pPr>
            <w:hyperlink r:id="rId6">
              <w:r w:rsidR="0013053A">
                <w:rPr>
                  <w:rFonts w:ascii="Times New Roman" w:eastAsia="Calibri" w:hAnsi="Times New Roman"/>
                  <w:color w:val="0563C1"/>
                  <w:kern w:val="0"/>
                  <w:u w:val="single"/>
                  <w:lang w:eastAsia="en-US" w:bidi="ar-SA"/>
                </w:rPr>
                <w:t>dpo@hanganov.hu</w:t>
              </w:r>
            </w:hyperlink>
          </w:p>
        </w:tc>
      </w:tr>
    </w:tbl>
    <w:p w14:paraId="72901B73" w14:textId="77777777" w:rsidR="00E77426" w:rsidRDefault="00E77426">
      <w:pPr>
        <w:pStyle w:val="Standard"/>
        <w:rPr>
          <w:rFonts w:ascii="Times New Roman" w:hAnsi="Times New Roman" w:cs="Times New Roman"/>
        </w:rPr>
      </w:pPr>
    </w:p>
    <w:p w14:paraId="1D7A11E0" w14:textId="77777777" w:rsidR="00E77426" w:rsidRDefault="0013053A">
      <w:pPr>
        <w:pStyle w:val="Cmsor1"/>
        <w:ind w:left="0" w:firstLine="0"/>
        <w:jc w:val="both"/>
        <w:rPr>
          <w:rFonts w:ascii="Times New Roman" w:hAnsi="Times New Roman"/>
        </w:rPr>
      </w:pPr>
      <w:bookmarkStart w:id="2" w:name="__RefHeading___Toc4980_598655338"/>
      <w:bookmarkEnd w:id="2"/>
      <w:r>
        <w:rPr>
          <w:rFonts w:ascii="Times New Roman" w:hAnsi="Times New Roman" w:cs="Times New Roman"/>
        </w:rPr>
        <w:t>Panaszkezelés és további jogérvényesítési lehetőségek (jogorvoslathoz való jog):</w:t>
      </w:r>
    </w:p>
    <w:p w14:paraId="6F0C8508" w14:textId="77777777" w:rsidR="00E77426" w:rsidRDefault="00E77426">
      <w:pPr>
        <w:pStyle w:val="Cmsor1"/>
        <w:ind w:left="0"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4E5868C2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Minden tőlünk telhetőt megteszünk, hogy a személyes adatok kezelése a jogszabályi előírásoknak megfelelően történjék. Amennyiben úgy érzi, hogy nem feleltünk meg ennek vagy bármilyen kérdése merülne fel ezzel kapcsolatban, kérjük jelezze számunkra fenti elérhetőségeinken.</w:t>
      </w:r>
    </w:p>
    <w:p w14:paraId="30B7C733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1561B883" w14:textId="77777777" w:rsidR="00E77426" w:rsidRDefault="0013053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Személyes adatai védelméhez fűződő jogai megsértése esetén jogorvoslati lehetőségért – amennyiben az Adatkezelő az Ön jelzése ellenére sem szünteti meg jogsértő magatartását – a Nemzeti Adatvédelmi és Információszabadság Hatósághoz fordulhat, alábbi elérhetőségein:</w:t>
      </w:r>
    </w:p>
    <w:p w14:paraId="60F029EB" w14:textId="77777777" w:rsidR="00E77426" w:rsidRDefault="00E77426">
      <w:pPr>
        <w:pStyle w:val="Standard"/>
        <w:rPr>
          <w:rFonts w:ascii="Times New Roman" w:hAnsi="Times New Roman" w:cs="Times New Roman"/>
        </w:rPr>
      </w:pPr>
    </w:p>
    <w:tbl>
      <w:tblPr>
        <w:tblW w:w="8762" w:type="dxa"/>
        <w:jc w:val="center"/>
        <w:tblLayout w:type="fixed"/>
        <w:tblCellMar>
          <w:top w:w="28" w:type="dxa"/>
          <w:left w:w="57" w:type="dxa"/>
          <w:bottom w:w="28" w:type="dxa"/>
          <w:right w:w="55" w:type="dxa"/>
        </w:tblCellMar>
        <w:tblLook w:val="04A0" w:firstRow="1" w:lastRow="0" w:firstColumn="1" w:lastColumn="0" w:noHBand="0" w:noVBand="1"/>
      </w:tblPr>
      <w:tblGrid>
        <w:gridCol w:w="2383"/>
        <w:gridCol w:w="6379"/>
      </w:tblGrid>
      <w:tr w:rsidR="00E77426" w14:paraId="44913C7E" w14:textId="77777777">
        <w:trPr>
          <w:jc w:val="center"/>
        </w:trPr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84FC47" w14:textId="77777777" w:rsidR="00E77426" w:rsidRDefault="0013053A">
            <w:pPr>
              <w:pStyle w:val="Tblzattartalom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Hivatalos név:</w:t>
            </w:r>
          </w:p>
        </w:tc>
        <w:tc>
          <w:tcPr>
            <w:tcW w:w="6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CF1CD1" w14:textId="77777777" w:rsidR="00E77426" w:rsidRDefault="0013053A">
            <w:pPr>
              <w:pStyle w:val="Tblzattartalom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Nemzeti Adatvédelmi és Információszabadság Hatóság (NAIH)</w:t>
            </w:r>
          </w:p>
        </w:tc>
      </w:tr>
      <w:tr w:rsidR="00E77426" w14:paraId="0F9F08A0" w14:textId="77777777">
        <w:trPr>
          <w:jc w:val="center"/>
        </w:trPr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CA7AF4" w14:textId="77777777" w:rsidR="00E77426" w:rsidRDefault="0013053A">
            <w:pPr>
              <w:pStyle w:val="Tblzattartalom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Postai cím:</w:t>
            </w:r>
          </w:p>
        </w:tc>
        <w:tc>
          <w:tcPr>
            <w:tcW w:w="6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DB998F" w14:textId="77777777" w:rsidR="00E77426" w:rsidRDefault="0013053A">
            <w:pPr>
              <w:pStyle w:val="Tblzattartalom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1363 Budapest, Pf. 9.</w:t>
            </w:r>
          </w:p>
        </w:tc>
      </w:tr>
      <w:tr w:rsidR="00E77426" w14:paraId="3CA6A22A" w14:textId="77777777">
        <w:trPr>
          <w:jc w:val="center"/>
        </w:trPr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1A9766" w14:textId="77777777" w:rsidR="00E77426" w:rsidRDefault="0013053A">
            <w:pPr>
              <w:pStyle w:val="Tblzattartalom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6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2F0384" w14:textId="77777777" w:rsidR="00E77426" w:rsidRDefault="0013053A">
            <w:pPr>
              <w:pStyle w:val="Tblzattartalom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+3613911400</w:t>
            </w:r>
          </w:p>
        </w:tc>
      </w:tr>
      <w:tr w:rsidR="00E77426" w14:paraId="3517D255" w14:textId="77777777">
        <w:trPr>
          <w:jc w:val="center"/>
        </w:trPr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A7FC79" w14:textId="77777777" w:rsidR="00E77426" w:rsidRDefault="0013053A">
            <w:pPr>
              <w:pStyle w:val="Tblzattartalom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6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8D9848" w14:textId="77777777" w:rsidR="00E77426" w:rsidRDefault="006A7C9E">
            <w:pPr>
              <w:pStyle w:val="Tblzattartalom"/>
              <w:contextualSpacing w:val="0"/>
              <w:rPr>
                <w:rFonts w:hint="eastAsia"/>
              </w:rPr>
            </w:pPr>
            <w:hyperlink r:id="rId7">
              <w:r w:rsidR="0013053A">
                <w:rPr>
                  <w:rFonts w:ascii="Times New Roman" w:hAnsi="Times New Roman"/>
                  <w:color w:val="0563C1"/>
                  <w:u w:val="single"/>
                </w:rPr>
                <w:t>ugyfelszolgalat@naih.hu</w:t>
              </w:r>
            </w:hyperlink>
          </w:p>
        </w:tc>
      </w:tr>
      <w:tr w:rsidR="00E77426" w14:paraId="213C556D" w14:textId="77777777">
        <w:trPr>
          <w:jc w:val="center"/>
        </w:trPr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ECC7FD" w14:textId="77777777" w:rsidR="00E77426" w:rsidRDefault="0013053A">
            <w:pPr>
              <w:pStyle w:val="Tblzattartalom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Weboldal:</w:t>
            </w:r>
          </w:p>
        </w:tc>
        <w:tc>
          <w:tcPr>
            <w:tcW w:w="6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C12F32" w14:textId="77777777" w:rsidR="00E77426" w:rsidRDefault="0013053A">
            <w:pPr>
              <w:pStyle w:val="Tblzattartalom"/>
              <w:contextualSpacing w:val="0"/>
              <w:rPr>
                <w:rFonts w:hint="eastAsia"/>
              </w:rPr>
            </w:pPr>
            <w:r>
              <w:rPr>
                <w:rStyle w:val="Hiperhivatkozs1"/>
                <w:rFonts w:ascii="Times New Roman" w:hAnsi="Times New Roman" w:cs="Times New Roman"/>
                <w:color w:val="3465A4"/>
              </w:rPr>
              <w:t>www.naih.hu</w:t>
            </w:r>
          </w:p>
        </w:tc>
      </w:tr>
    </w:tbl>
    <w:p w14:paraId="22A5FC48" w14:textId="77777777" w:rsidR="00E77426" w:rsidRDefault="00E77426">
      <w:pPr>
        <w:pStyle w:val="Standard"/>
        <w:jc w:val="both"/>
        <w:rPr>
          <w:rFonts w:ascii="Times New Roman" w:hAnsi="Times New Roman" w:cs="Times New Roman"/>
        </w:rPr>
      </w:pPr>
    </w:p>
    <w:p w14:paraId="54CC2D26" w14:textId="77777777" w:rsidR="00E77426" w:rsidRDefault="0013053A">
      <w:pPr>
        <w:pStyle w:val="Standard"/>
        <w:tabs>
          <w:tab w:val="left" w:pos="828"/>
          <w:tab w:val="left" w:pos="829"/>
        </w:tabs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Személyes adatainak védelme érdekében lehetősége van a bírósághoz is fordulni, amely az ügyben soron kívül jár el. Ebben az esetben szabadon eldöntheti, hogy a lakóhelye (állandó lakcím) vagy a tartózkodási helye (ideiglenes lakcím), illetve a jelen tájékoztató első oldalán ismertetett székhelyünk szerint illetékes törvényszéknél nyújtja-e be keresetét. Az illetékes törvényszéket megkeresheti a </w:t>
      </w:r>
      <w:hyperlink r:id="rId8">
        <w:r>
          <w:rPr>
            <w:rFonts w:ascii="Times New Roman" w:eastAsia="Calibri" w:hAnsi="Times New Roman" w:cs="Times New Roman"/>
            <w:color w:val="0563C1"/>
            <w:u w:val="single"/>
          </w:rPr>
          <w:t>https://birosag.hu/birosag-kereso</w:t>
        </w:r>
      </w:hyperlink>
      <w:r>
        <w:rPr>
          <w:rFonts w:ascii="Times New Roman" w:hAnsi="Times New Roman" w:cs="Times New Roman"/>
        </w:rPr>
        <w:t xml:space="preserve"> oldalon.</w:t>
      </w:r>
    </w:p>
    <w:sectPr w:rsidR="00E7742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346"/>
    <w:multiLevelType w:val="multilevel"/>
    <w:tmpl w:val="0E36A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5D7CFE"/>
    <w:multiLevelType w:val="multilevel"/>
    <w:tmpl w:val="DF72D7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26"/>
    <w:rsid w:val="0013053A"/>
    <w:rsid w:val="001C0722"/>
    <w:rsid w:val="002F111C"/>
    <w:rsid w:val="006A7C9E"/>
    <w:rsid w:val="00E7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2353"/>
  <w15:docId w15:val="{5373760E-90A4-4543-B6CA-73160847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textAlignment w:val="baseline"/>
    </w:pPr>
  </w:style>
  <w:style w:type="paragraph" w:styleId="Cmsor1">
    <w:name w:val="heading 1"/>
    <w:basedOn w:val="Standard"/>
    <w:uiPriority w:val="9"/>
    <w:qFormat/>
    <w:pPr>
      <w:widowControl w:val="0"/>
      <w:ind w:left="820" w:hanging="361"/>
      <w:outlineLvl w:val="0"/>
    </w:pPr>
    <w:rPr>
      <w:rFonts w:ascii="Calibri" w:eastAsia="Calibri" w:hAnsi="Calibri" w:cs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Hiperhivatkozs1">
    <w:name w:val="Hiperhivatkozás1"/>
    <w:basedOn w:val="Bekezdsalapbettpusa"/>
    <w:qFormat/>
    <w:rPr>
      <w:color w:val="0563C1"/>
      <w:u w:val="singl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Pr>
      <w:rFonts w:cs="Mangal"/>
      <w:sz w:val="20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ableParagraph">
    <w:name w:val="Table Paragraph"/>
    <w:basedOn w:val="Standard"/>
    <w:qFormat/>
    <w:pPr>
      <w:widowControl w:val="0"/>
    </w:pPr>
    <w:rPr>
      <w:rFonts w:ascii="Calibri" w:eastAsia="Calibri" w:hAnsi="Calibri" w:cs="Calibri"/>
    </w:rPr>
  </w:style>
  <w:style w:type="paragraph" w:customStyle="1" w:styleId="Tblzattartalom">
    <w:name w:val="Táblázattartalom"/>
    <w:basedOn w:val="Standard"/>
    <w:qFormat/>
    <w:pPr>
      <w:widowControl w:val="0"/>
      <w:suppressLineNumbers/>
      <w:contextualSpacing/>
    </w:pPr>
  </w:style>
  <w:style w:type="paragraph" w:customStyle="1" w:styleId="Megjegyzs">
    <w:name w:val="Megjegyzés"/>
    <w:basedOn w:val="Standard"/>
    <w:qFormat/>
    <w:pPr>
      <w:spacing w:before="56"/>
      <w:ind w:left="57" w:right="57"/>
    </w:pPr>
    <w:rPr>
      <w:sz w:val="20"/>
      <w:szCs w:val="20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rFonts w:cs="Mangal"/>
      <w:sz w:val="20"/>
      <w:szCs w:val="18"/>
    </w:rPr>
  </w:style>
  <w:style w:type="numbering" w:customStyle="1" w:styleId="Nincslista">
    <w:name w:val="Nincs lista"/>
    <w:uiPriority w:val="99"/>
    <w:semiHidden/>
    <w:unhideWhenUsed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13053A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053A"/>
    <w:rPr>
      <w:rFonts w:ascii="Segoe UI" w:hAnsi="Segoe UI" w:cs="Mangal"/>
      <w:sz w:val="18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C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C9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osag.hu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hanganov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6025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HANGANOV Kft.</dc:creator>
  <dc:description/>
  <cp:lastModifiedBy>Moni</cp:lastModifiedBy>
  <cp:revision>3</cp:revision>
  <dcterms:created xsi:type="dcterms:W3CDTF">2026-01-07T10:48:00Z</dcterms:created>
  <dcterms:modified xsi:type="dcterms:W3CDTF">2026-01-07T10:48:00Z</dcterms:modified>
  <dc:language>hu-HU</dc:language>
</cp:coreProperties>
</file>